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CE3E4B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2C1832" w:rsidRDefault="00430C58" w:rsidP="00885FEE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C33570" w:rsidRPr="00720346">
              <w:rPr>
                <w:b/>
                <w:bCs/>
                <w:color w:val="0066FF"/>
                <w:sz w:val="22"/>
                <w:szCs w:val="36"/>
              </w:rPr>
              <w:t>Human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885FEE">
              <w:rPr>
                <w:b/>
                <w:bCs/>
                <w:color w:val="0066FF"/>
                <w:sz w:val="22"/>
                <w:szCs w:val="36"/>
              </w:rPr>
              <w:t>Inte</w:t>
            </w:r>
            <w:r w:rsidR="00885FEE">
              <w:rPr>
                <w:rFonts w:hint="eastAsia"/>
                <w:b/>
                <w:bCs/>
                <w:color w:val="0066FF"/>
                <w:sz w:val="22"/>
                <w:szCs w:val="36"/>
              </w:rPr>
              <w:t>rferon</w:t>
            </w:r>
            <w:r w:rsidR="00AF5092">
              <w:rPr>
                <w:b/>
                <w:bCs/>
                <w:color w:val="0066FF"/>
                <w:sz w:val="22"/>
                <w:szCs w:val="36"/>
              </w:rPr>
              <w:t>-</w:t>
            </w:r>
            <w:r w:rsidR="00885FEE">
              <w:rPr>
                <w:rFonts w:hint="eastAsia"/>
                <w:b/>
                <w:bCs/>
                <w:color w:val="0066FF"/>
                <w:sz w:val="22"/>
                <w:szCs w:val="36"/>
              </w:rPr>
              <w:t>gamma</w:t>
            </w:r>
            <w:r w:rsidR="00CF08D1" w:rsidRPr="00720346">
              <w:rPr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proofErr w:type="spellStart"/>
            <w:r w:rsidR="00885FEE">
              <w:rPr>
                <w:rFonts w:hint="eastAsia"/>
                <w:b/>
                <w:bCs/>
                <w:color w:val="0066FF"/>
                <w:sz w:val="22"/>
                <w:szCs w:val="36"/>
              </w:rPr>
              <w:t>rhIFN</w:t>
            </w:r>
            <w:proofErr w:type="spellEnd"/>
            <w:r w:rsidR="00885FEE">
              <w:rPr>
                <w:rFonts w:hint="eastAsia"/>
                <w:b/>
                <w:bCs/>
                <w:color w:val="0066FF"/>
                <w:sz w:val="22"/>
                <w:szCs w:val="36"/>
              </w:rPr>
              <w:t>-</w:t>
            </w:r>
            <w:proofErr w:type="spellStart"/>
            <w:r w:rsidR="00885FEE">
              <w:rPr>
                <w:rFonts w:ascii="맑은 고딕" w:eastAsia="맑은 고딕" w:hAnsi="맑은 고딕" w:hint="eastAsia"/>
                <w:b/>
                <w:bCs/>
                <w:color w:val="0066FF"/>
                <w:sz w:val="22"/>
                <w:szCs w:val="36"/>
              </w:rPr>
              <w:t>γ</w:t>
            </w:r>
            <w:proofErr w:type="spellEnd"/>
            <w:r w:rsidR="00AF5092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FB3DDE" w:rsidRPr="00254FCC" w:rsidRDefault="00885FEE" w:rsidP="00FB3DDE">
            <w:pPr>
              <w:tabs>
                <w:tab w:val="num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IFNG, IFG, Immune Interferon, type II interferon, T cell interferon, MAF</w:t>
            </w:r>
          </w:p>
          <w:p w:rsidR="00FB3DDE" w:rsidRPr="004A1C42" w:rsidRDefault="00FB3DDE" w:rsidP="00FB3DDE">
            <w:pPr>
              <w:tabs>
                <w:tab w:val="num" w:pos="2160"/>
              </w:tabs>
              <w:rPr>
                <w:rFonts w:ascii="Arial" w:hAnsi="Arial" w:cs="Arial"/>
              </w:rPr>
            </w:pPr>
          </w:p>
        </w:tc>
      </w:tr>
      <w:tr w:rsidR="004A1C42" w:rsidRPr="004A1C42" w:rsidTr="00E833BF">
        <w:trPr>
          <w:trHeight w:val="1691"/>
        </w:trPr>
        <w:tc>
          <w:tcPr>
            <w:tcW w:w="2376" w:type="dxa"/>
            <w:tcBorders>
              <w:bottom w:val="nil"/>
              <w:right w:val="nil"/>
            </w:tcBorders>
          </w:tcPr>
          <w:p w:rsidR="00E833BF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Description</w:t>
            </w:r>
          </w:p>
          <w:p w:rsidR="00E833BF" w:rsidRPr="00E833BF" w:rsidRDefault="00E833BF" w:rsidP="00E833BF">
            <w:pPr>
              <w:rPr>
                <w:rFonts w:ascii="Arial" w:hAnsi="Arial" w:cs="Arial"/>
              </w:rPr>
            </w:pPr>
          </w:p>
          <w:p w:rsidR="00E833BF" w:rsidRPr="00E833BF" w:rsidRDefault="00E833BF" w:rsidP="00E833BF">
            <w:pPr>
              <w:rPr>
                <w:rFonts w:ascii="Arial" w:hAnsi="Arial" w:cs="Arial"/>
              </w:rPr>
            </w:pPr>
          </w:p>
          <w:p w:rsidR="00E833BF" w:rsidRPr="00E833BF" w:rsidRDefault="00E833BF" w:rsidP="00E833BF">
            <w:pPr>
              <w:rPr>
                <w:rFonts w:ascii="Arial" w:hAnsi="Arial" w:cs="Arial"/>
              </w:rPr>
            </w:pPr>
          </w:p>
          <w:p w:rsidR="00E833BF" w:rsidRPr="00E833BF" w:rsidRDefault="00E833BF" w:rsidP="00E833BF">
            <w:pPr>
              <w:rPr>
                <w:rFonts w:ascii="Arial" w:hAnsi="Arial" w:cs="Arial"/>
              </w:rPr>
            </w:pPr>
          </w:p>
          <w:p w:rsidR="00E833BF" w:rsidRPr="00E833BF" w:rsidRDefault="00E833BF" w:rsidP="00E833BF">
            <w:pPr>
              <w:rPr>
                <w:rFonts w:ascii="Arial" w:hAnsi="Arial" w:cs="Arial"/>
              </w:rPr>
            </w:pPr>
          </w:p>
          <w:p w:rsidR="00A31A0C" w:rsidRDefault="00A31A0C" w:rsidP="00E833BF">
            <w:pPr>
              <w:ind w:right="400"/>
              <w:rPr>
                <w:rFonts w:ascii="Arial" w:hAnsi="Arial" w:cs="Arial"/>
              </w:rPr>
            </w:pPr>
          </w:p>
          <w:p w:rsidR="00E833BF" w:rsidRPr="00E833BF" w:rsidRDefault="00E833BF" w:rsidP="00E833BF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497FF6" w:rsidRDefault="00885FEE" w:rsidP="00E833BF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885FEE">
              <w:rPr>
                <w:rFonts w:ascii="Arial" w:hAnsi="Arial" w:cs="Arial"/>
                <w:color w:val="auto"/>
                <w:sz w:val="20"/>
              </w:rPr>
              <w:t>Interferon gamma (</w:t>
            </w:r>
            <w:proofErr w:type="spellStart"/>
            <w:r w:rsidRPr="00885FEE">
              <w:rPr>
                <w:rFonts w:ascii="Arial" w:hAnsi="Arial" w:cs="Arial"/>
                <w:color w:val="auto"/>
                <w:sz w:val="20"/>
              </w:rPr>
              <w:t>IFNγ</w:t>
            </w:r>
            <w:proofErr w:type="spellEnd"/>
            <w:r w:rsidRPr="00885FEE">
              <w:rPr>
                <w:rFonts w:ascii="Arial" w:hAnsi="Arial" w:cs="Arial"/>
                <w:color w:val="auto"/>
                <w:sz w:val="20"/>
              </w:rPr>
              <w:t xml:space="preserve">) is a </w:t>
            </w:r>
            <w:proofErr w:type="spellStart"/>
            <w:r w:rsidRPr="00885FEE">
              <w:rPr>
                <w:rFonts w:ascii="Arial" w:hAnsi="Arial" w:cs="Arial"/>
                <w:color w:val="auto"/>
                <w:sz w:val="20"/>
              </w:rPr>
              <w:t>dimerized</w:t>
            </w:r>
            <w:proofErr w:type="spellEnd"/>
            <w:r w:rsidRPr="00885FEE">
              <w:rPr>
                <w:rFonts w:ascii="Arial" w:hAnsi="Arial" w:cs="Arial"/>
                <w:color w:val="auto"/>
                <w:sz w:val="20"/>
              </w:rPr>
              <w:t xml:space="preserve"> soluble cytokine that is the only member of th</w:t>
            </w:r>
            <w:r>
              <w:rPr>
                <w:rFonts w:ascii="Arial" w:hAnsi="Arial" w:cs="Arial"/>
                <w:color w:val="auto"/>
                <w:sz w:val="20"/>
              </w:rPr>
              <w:t>e type II class of interferons.</w:t>
            </w:r>
            <w:r>
              <w:rPr>
                <w:rFonts w:ascii="Arial" w:hAnsi="Arial" w:cs="Arial" w:hint="eastAsia"/>
                <w:color w:val="auto"/>
                <w:sz w:val="20"/>
              </w:rPr>
              <w:t xml:space="preserve"> </w:t>
            </w:r>
            <w:proofErr w:type="spellStart"/>
            <w:r w:rsidRPr="00885FEE">
              <w:rPr>
                <w:rFonts w:ascii="Arial" w:hAnsi="Arial" w:cs="Arial"/>
                <w:color w:val="auto"/>
                <w:sz w:val="20"/>
              </w:rPr>
              <w:t>IFNγ</w:t>
            </w:r>
            <w:proofErr w:type="spellEnd"/>
            <w:r>
              <w:rPr>
                <w:rFonts w:ascii="Arial" w:hAnsi="Arial" w:cs="Arial" w:hint="eastAsia"/>
                <w:color w:val="auto"/>
                <w:sz w:val="20"/>
              </w:rPr>
              <w:t xml:space="preserve"> </w:t>
            </w:r>
            <w:r w:rsidRPr="00885FEE">
              <w:rPr>
                <w:rFonts w:ascii="Arial" w:hAnsi="Arial" w:cs="Arial"/>
                <w:color w:val="auto"/>
                <w:sz w:val="20"/>
              </w:rPr>
              <w:t xml:space="preserve">is critical for innate and adaptive immunity against viral, some bacterial and protozoal infections. </w:t>
            </w:r>
            <w:proofErr w:type="spellStart"/>
            <w:r w:rsidRPr="00885FEE">
              <w:rPr>
                <w:rFonts w:ascii="Arial" w:hAnsi="Arial" w:cs="Arial"/>
                <w:color w:val="auto"/>
                <w:sz w:val="20"/>
              </w:rPr>
              <w:t>IFNγ</w:t>
            </w:r>
            <w:proofErr w:type="spellEnd"/>
            <w:r w:rsidRPr="00885FEE">
              <w:rPr>
                <w:rFonts w:ascii="Arial" w:hAnsi="Arial" w:cs="Arial"/>
                <w:color w:val="auto"/>
                <w:sz w:val="20"/>
              </w:rPr>
              <w:t xml:space="preserve"> is an important activator of macrophages and inducer of Class II major histocompatibility complex (MHC) molecule expression.</w:t>
            </w:r>
            <w:r>
              <w:rPr>
                <w:rFonts w:ascii="Arial" w:hAnsi="Arial" w:cs="Arial" w:hint="eastAsia"/>
                <w:color w:val="auto"/>
                <w:sz w:val="20"/>
              </w:rPr>
              <w:t xml:space="preserve"> </w:t>
            </w:r>
            <w:r w:rsidR="004A1C42" w:rsidRPr="00497FF6">
              <w:rPr>
                <w:rFonts w:ascii="Arial" w:hAnsi="Arial" w:cs="Arial"/>
                <w:color w:val="auto"/>
                <w:sz w:val="20"/>
              </w:rPr>
              <w:t>(Ref. From Wikipedia)</w:t>
            </w:r>
          </w:p>
        </w:tc>
      </w:tr>
      <w:tr w:rsidR="004A1C42" w:rsidRPr="004A1C42" w:rsidTr="00BD5317">
        <w:trPr>
          <w:trHeight w:val="23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52C62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N</w:t>
            </w:r>
            <w:r w:rsidR="003A7BD5" w:rsidRPr="004A1C42">
              <w:rPr>
                <w:rFonts w:ascii="Arial" w:hAnsi="Arial" w:cs="Arial"/>
                <w:b/>
              </w:rPr>
              <w:t>C</w:t>
            </w:r>
            <w:r w:rsidRPr="004A1C42">
              <w:rPr>
                <w:rFonts w:ascii="Arial" w:hAnsi="Arial" w:cs="Arial"/>
                <w:b/>
              </w:rPr>
              <w:t>B</w:t>
            </w:r>
            <w:r w:rsidR="003A7BD5" w:rsidRPr="004A1C42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97FF6" w:rsidRDefault="009D209F" w:rsidP="00E116BE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9D209F">
              <w:rPr>
                <w:rFonts w:ascii="Arial" w:hAnsi="Arial" w:cs="Arial"/>
                <w:color w:val="auto"/>
                <w:kern w:val="2"/>
                <w:sz w:val="20"/>
              </w:rPr>
              <w:t>NM_</w:t>
            </w:r>
            <w:r w:rsidR="00E116BE">
              <w:rPr>
                <w:rFonts w:ascii="Arial" w:hAnsi="Arial" w:cs="Arial" w:hint="eastAsia"/>
                <w:color w:val="auto"/>
                <w:kern w:val="2"/>
                <w:sz w:val="20"/>
              </w:rPr>
              <w:t>000619.2</w:t>
            </w:r>
          </w:p>
        </w:tc>
      </w:tr>
      <w:tr w:rsidR="004A1C42" w:rsidRPr="004A1C42" w:rsidTr="00BD5317">
        <w:trPr>
          <w:trHeight w:val="968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E833BF" w:rsidRPr="00E833BF" w:rsidRDefault="00E833BF" w:rsidP="00E833BF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E833BF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MKYTSYILAFQLCIVLGSLGCYCQDPYVKEAENLKKYFNAGHSDVADNGT</w:t>
            </w:r>
          </w:p>
          <w:p w:rsidR="00E833BF" w:rsidRPr="00E833BF" w:rsidRDefault="00E833BF" w:rsidP="00E833BF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E833BF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LFLGILKNWKEESDRKIMQSQIVSFYFKLFKNFKDDQSIQKSVETIKEDM</w:t>
            </w:r>
          </w:p>
          <w:p w:rsidR="00E833BF" w:rsidRPr="00E833BF" w:rsidRDefault="00E833BF" w:rsidP="00E833BF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E833BF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NVKFFNSNKKKRDDFEKLTNYSVTDLNVQRKAIHELIQVMAELSPAAKTG</w:t>
            </w:r>
          </w:p>
          <w:p w:rsidR="000A213C" w:rsidRPr="00497FF6" w:rsidRDefault="00E833BF" w:rsidP="00E833BF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KRKRSQMLFRGRRASQ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97FF6" w:rsidRDefault="00E833BF" w:rsidP="00E833BF">
            <w:pPr>
              <w:ind w:leftChars="-54" w:left="-108" w:firstLineChars="54" w:firstLine="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16.87</w:t>
            </w:r>
            <w:r w:rsidR="003A7BD5" w:rsidRPr="00497FF6">
              <w:rPr>
                <w:rFonts w:ascii="Arial" w:hAnsi="Arial" w:cs="Arial"/>
              </w:rPr>
              <w:t xml:space="preserve"> </w:t>
            </w:r>
            <w:proofErr w:type="spellStart"/>
            <w:r w:rsidR="003A7BD5" w:rsidRPr="00497FF6">
              <w:rPr>
                <w:rFonts w:ascii="Arial" w:hAnsi="Arial" w:cs="Arial"/>
              </w:rPr>
              <w:t>kDa</w:t>
            </w:r>
            <w:proofErr w:type="spellEnd"/>
            <w:r w:rsidR="006A254A" w:rsidRPr="00497FF6">
              <w:rPr>
                <w:rFonts w:ascii="Arial" w:hAnsi="Arial" w:cs="Arial"/>
              </w:rPr>
              <w:t xml:space="preserve"> (</w:t>
            </w:r>
            <w:r w:rsidR="00041B5D"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44</w:t>
            </w:r>
            <w:r w:rsidR="006A254A" w:rsidRPr="00497FF6">
              <w:rPr>
                <w:rFonts w:ascii="Arial" w:hAnsi="Arial" w:cs="Arial"/>
              </w:rPr>
              <w:t xml:space="preserve"> aa)</w:t>
            </w:r>
          </w:p>
        </w:tc>
      </w:tr>
      <w:tr w:rsidR="004A1C42" w:rsidRPr="004A1C42" w:rsidTr="00BD5317">
        <w:trPr>
          <w:trHeight w:val="200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4A1C42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97FF6" w:rsidRDefault="00C10FA9" w:rsidP="00396282">
            <w:pPr>
              <w:rPr>
                <w:rFonts w:ascii="Arial" w:hAnsi="Arial" w:cs="Arial"/>
                <w:sz w:val="18"/>
              </w:rPr>
            </w:pPr>
            <w:r w:rsidRPr="00497FF6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4A1C42" w:rsidRPr="004A1C42" w:rsidTr="00396282">
        <w:trPr>
          <w:trHeight w:val="23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97FF6" w:rsidRDefault="00C10FA9" w:rsidP="00396282">
            <w:pPr>
              <w:rPr>
                <w:rFonts w:ascii="Arial" w:hAnsi="Arial" w:cs="Arial"/>
                <w:i/>
              </w:rPr>
            </w:pPr>
            <w:r w:rsidRPr="00497FF6">
              <w:rPr>
                <w:rFonts w:ascii="Arial" w:hAnsi="Arial" w:cs="Arial"/>
                <w:i/>
              </w:rPr>
              <w:t>E. coli.</w:t>
            </w:r>
          </w:p>
        </w:tc>
      </w:tr>
      <w:tr w:rsidR="004A1C42" w:rsidRPr="004A1C42" w:rsidTr="00396282">
        <w:trPr>
          <w:trHeight w:val="141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97FF6" w:rsidRDefault="001F585B" w:rsidP="00E833B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010,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025,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050,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100,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250,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JW-H020-0</w:t>
            </w:r>
            <w:r>
              <w:rPr>
                <w:rFonts w:ascii="Arial" w:hAnsi="Arial" w:cs="Arial"/>
              </w:rPr>
              <w:t>500,</w:t>
            </w:r>
            <w:r>
              <w:rPr>
                <w:rFonts w:ascii="Arial" w:hAnsi="Arial" w:cs="Arial" w:hint="eastAsia"/>
              </w:rPr>
              <w:t xml:space="preserve"> JW-H020-1000</w:t>
            </w:r>
          </w:p>
        </w:tc>
      </w:tr>
      <w:tr w:rsidR="004A1C42" w:rsidRPr="004A1C42" w:rsidTr="00A0719E">
        <w:trPr>
          <w:trHeight w:val="619"/>
        </w:trPr>
        <w:tc>
          <w:tcPr>
            <w:tcW w:w="2376" w:type="dxa"/>
            <w:tcBorders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497FF6" w:rsidRDefault="00C10FA9" w:rsidP="00396282">
            <w:pPr>
              <w:rPr>
                <w:rFonts w:ascii="Arial" w:hAnsi="Arial" w:cs="Arial"/>
              </w:rPr>
            </w:pPr>
            <w:r w:rsidRPr="00497FF6">
              <w:rPr>
                <w:rFonts w:ascii="Arial" w:hAnsi="Arial" w:cs="Arial"/>
              </w:rPr>
              <w:t xml:space="preserve">Should be at ≤ -70 </w:t>
            </w:r>
            <w:r w:rsidRPr="00497FF6">
              <w:rPr>
                <w:rFonts w:ascii="Arial" w:hAnsi="Arial" w:cs="Arial" w:hint="eastAsia"/>
              </w:rPr>
              <w:t>℃</w:t>
            </w:r>
            <w:r w:rsidRPr="00497FF6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4A1C42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497FF6" w:rsidRDefault="008C6A19" w:rsidP="008C6A19">
            <w:pPr>
              <w:rPr>
                <w:rFonts w:ascii="Arial" w:hAnsi="Arial" w:cs="Arial"/>
                <w:b/>
              </w:rPr>
            </w:pPr>
            <w:r w:rsidRPr="00497FF6">
              <w:rPr>
                <w:rFonts w:ascii="Verdana" w:hAnsi="Verdana"/>
                <w:sz w:val="18"/>
                <w:szCs w:val="18"/>
              </w:rPr>
              <w:t>Human, Mouse Rat, Monkey, Pig</w:t>
            </w:r>
          </w:p>
        </w:tc>
      </w:tr>
    </w:tbl>
    <w:p w:rsidR="0027046E" w:rsidRPr="00396282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112"/>
        <w:gridCol w:w="255"/>
        <w:gridCol w:w="113"/>
        <w:gridCol w:w="3397"/>
        <w:gridCol w:w="2994"/>
      </w:tblGrid>
      <w:tr w:rsidR="004A1C42" w:rsidRPr="004A1C42" w:rsidTr="00CF4DAF">
        <w:trPr>
          <w:trHeight w:val="199"/>
        </w:trPr>
        <w:tc>
          <w:tcPr>
            <w:tcW w:w="9198" w:type="dxa"/>
            <w:gridSpan w:val="7"/>
            <w:tcBorders>
              <w:bottom w:val="single" w:sz="18" w:space="0" w:color="0070C0"/>
            </w:tcBorders>
          </w:tcPr>
          <w:p w:rsidR="0027046E" w:rsidRPr="004A1C42" w:rsidRDefault="0027046E" w:rsidP="007365FF">
            <w:pPr>
              <w:rPr>
                <w:rFonts w:ascii="Arial Black" w:hAnsi="Arial Black"/>
              </w:rPr>
            </w:pPr>
            <w:r w:rsidRPr="004A1C42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4A1C42" w:rsidRPr="004A1C42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4A1C42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4A1C42" w:rsidRPr="004A1C42" w:rsidTr="00CF4DAF">
        <w:trPr>
          <w:trHeight w:val="397"/>
        </w:trPr>
        <w:tc>
          <w:tcPr>
            <w:tcW w:w="2439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Clear, colorless liquid</w:t>
            </w:r>
          </w:p>
        </w:tc>
      </w:tr>
      <w:tr w:rsidR="004A1C42" w:rsidRPr="004A1C42" w:rsidTr="003A7BD5">
        <w:trPr>
          <w:trHeight w:val="284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803758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Greater than 9</w:t>
            </w:r>
            <w:r w:rsidR="00803758">
              <w:rPr>
                <w:rFonts w:ascii="Arial" w:hAnsi="Arial" w:cs="Arial" w:hint="eastAsia"/>
              </w:rPr>
              <w:t>8</w:t>
            </w:r>
            <w:r w:rsidRPr="004A1C42">
              <w:rPr>
                <w:rFonts w:ascii="Arial" w:hAnsi="Arial" w:cs="Arial"/>
              </w:rPr>
              <w:t xml:space="preserve"> % by </w:t>
            </w:r>
            <w:r w:rsidR="00446472" w:rsidRPr="004A1C42">
              <w:rPr>
                <w:rFonts w:ascii="Arial" w:hAnsi="Arial" w:cs="Arial"/>
              </w:rPr>
              <w:t>RP-HPLC and SDS-PAGE</w:t>
            </w:r>
          </w:p>
        </w:tc>
      </w:tr>
      <w:tr w:rsidR="004A1C42" w:rsidRPr="004A1C42" w:rsidTr="00C15146">
        <w:trPr>
          <w:trHeight w:val="299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4A1C42" w:rsidRDefault="001F585B" w:rsidP="008B1C65">
            <w:pPr>
              <w:ind w:leftChars="46" w:left="92"/>
              <w:rPr>
                <w:rFonts w:ascii="Arial" w:hAnsi="Arial" w:cs="Arial"/>
              </w:rPr>
            </w:pPr>
            <w:r w:rsidRPr="001F585B">
              <w:rPr>
                <w:rFonts w:ascii="Arial" w:hAnsi="Arial" w:cs="Arial"/>
                <w:noProof/>
              </w:rPr>
              <w:drawing>
                <wp:inline distT="0" distB="0" distL="0" distR="0">
                  <wp:extent cx="1437815" cy="1260000"/>
                  <wp:effectExtent l="0" t="0" r="0" b="0"/>
                  <wp:docPr id="1" name="그림 1" descr="Z:\신약연구팀\배일근(20151004)\업무-my\4. 활성시험\21년\210315 IFN-gamma 21 19 P사\hIFN-gamma 2101 P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신약연구팀\배일근(20151004)\업무-my\4. 활성시험\21년\210315 IFN-gamma 21 19 P사\hIFN-gamma 2101 P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815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42" w:rsidRPr="004A1C42" w:rsidTr="008B1C65">
        <w:trPr>
          <w:trHeight w:val="41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0.1 mg/</w:t>
            </w:r>
            <w:r w:rsidRPr="004A1C42">
              <w:rPr>
                <w:rFonts w:ascii="Arial" w:hAnsi="Arial" w:cs="Arial"/>
              </w:rPr>
              <w:t>㎖</w:t>
            </w:r>
            <w:r w:rsidRPr="004A1C4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D837E2">
        <w:trPr>
          <w:trHeight w:val="1253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937A50" w:rsidRDefault="008B1C65" w:rsidP="00CE4778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Determined by </w:t>
            </w:r>
            <w:r w:rsidR="0066481D">
              <w:rPr>
                <w:rFonts w:ascii="Arial" w:hAnsi="Arial" w:cs="Arial" w:hint="eastAsia"/>
              </w:rPr>
              <w:t>cytotoxicity</w:t>
            </w:r>
            <w:r w:rsidR="001626BD" w:rsidRPr="004A1C42">
              <w:rPr>
                <w:rFonts w:ascii="Arial" w:hAnsi="Arial" w:cs="Arial"/>
              </w:rPr>
              <w:t xml:space="preserve"> of </w:t>
            </w:r>
            <w:r w:rsidR="0066481D">
              <w:rPr>
                <w:rFonts w:ascii="Arial" w:hAnsi="Arial" w:cs="Arial" w:hint="eastAsia"/>
              </w:rPr>
              <w:t>HT-29</w:t>
            </w:r>
            <w:r w:rsidR="00DD026C">
              <w:rPr>
                <w:rFonts w:ascii="Arial" w:hAnsi="Arial" w:cs="Arial"/>
              </w:rPr>
              <w:t xml:space="preserve"> </w:t>
            </w:r>
            <w:r w:rsidR="001626BD" w:rsidRPr="004A1C42">
              <w:rPr>
                <w:rFonts w:ascii="Arial" w:hAnsi="Arial" w:cs="Arial"/>
              </w:rPr>
              <w:t>indicator cells</w:t>
            </w:r>
            <w:r w:rsidR="00CE3E4B">
              <w:rPr>
                <w:rFonts w:ascii="Arial" w:hAnsi="Arial" w:cs="Arial"/>
              </w:rPr>
              <w:t xml:space="preserve">. </w:t>
            </w:r>
          </w:p>
          <w:p w:rsidR="008B1C65" w:rsidRPr="004A1C42" w:rsidRDefault="001626BD" w:rsidP="0066481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The ED50 is &lt;</w:t>
            </w:r>
            <w:r w:rsidR="0066481D">
              <w:rPr>
                <w:rFonts w:ascii="Arial" w:hAnsi="Arial" w:cs="Arial" w:hint="eastAsia"/>
              </w:rPr>
              <w:t xml:space="preserve"> 0.05</w:t>
            </w:r>
            <w:r w:rsidR="00DD026C">
              <w:rPr>
                <w:rFonts w:ascii="Arial" w:hAnsi="Arial" w:cs="Arial"/>
              </w:rPr>
              <w:t xml:space="preserve"> </w:t>
            </w:r>
            <w:r w:rsidRPr="004A1C42">
              <w:rPr>
                <w:rFonts w:ascii="Arial" w:hAnsi="Arial" w:cs="Arial"/>
              </w:rPr>
              <w:t xml:space="preserve">ng/ml, corresponding to a specific activity of &gt; </w:t>
            </w:r>
            <w:r w:rsidR="0066481D">
              <w:rPr>
                <w:rFonts w:ascii="Arial" w:hAnsi="Arial" w:cs="Arial" w:hint="eastAsia"/>
              </w:rPr>
              <w:t>2.0</w:t>
            </w:r>
            <w:r w:rsidRPr="004A1C42">
              <w:rPr>
                <w:rFonts w:ascii="Arial" w:hAnsi="Arial" w:cs="Arial"/>
              </w:rPr>
              <w:t xml:space="preserve"> × 10</w:t>
            </w:r>
            <w:r w:rsidR="0066481D">
              <w:rPr>
                <w:rFonts w:ascii="Arial" w:hAnsi="Arial" w:cs="Arial" w:hint="eastAsia"/>
                <w:vertAlign w:val="superscript"/>
              </w:rPr>
              <w:t>7</w:t>
            </w:r>
            <w:r w:rsidRPr="004A1C42">
              <w:rPr>
                <w:rFonts w:ascii="Arial" w:hAnsi="Arial" w:cs="Arial"/>
              </w:rPr>
              <w:t xml:space="preserve"> U/mg</w:t>
            </w:r>
            <w:bookmarkStart w:id="0" w:name="_GoBack"/>
            <w:bookmarkEnd w:id="0"/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C15146">
        <w:trPr>
          <w:trHeight w:val="24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CE0606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CE0606">
              <w:rPr>
                <w:rFonts w:ascii="Arial" w:hAnsi="Arial" w:cs="Arial"/>
              </w:rPr>
              <w:t>0</w:t>
            </w:r>
            <w:r w:rsidRPr="00E77160">
              <w:rPr>
                <w:rFonts w:ascii="Arial" w:hAnsi="Arial" w:cs="Arial"/>
              </w:rPr>
              <w:t>.</w:t>
            </w:r>
            <w:r w:rsidR="00CE0606">
              <w:rPr>
                <w:rFonts w:ascii="Arial" w:hAnsi="Arial" w:cs="Arial"/>
              </w:rPr>
              <w:t>1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1D0BA5">
        <w:trPr>
          <w:trHeight w:val="338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B14D62" w:rsidP="001F585B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 w:rsidR="00E77160" w:rsidRPr="00E77160">
              <w:rPr>
                <w:rFonts w:ascii="Arial" w:hAnsi="Arial" w:cs="Arial"/>
              </w:rPr>
              <w:t xml:space="preserve">0mM </w:t>
            </w:r>
            <w:r w:rsidR="00DD026C">
              <w:rPr>
                <w:rFonts w:ascii="Arial" w:hAnsi="Arial" w:cs="Arial"/>
              </w:rPr>
              <w:t xml:space="preserve">sodium </w:t>
            </w:r>
            <w:r>
              <w:rPr>
                <w:rFonts w:ascii="Arial" w:hAnsi="Arial" w:cs="Arial" w:hint="eastAsia"/>
              </w:rPr>
              <w:t>phosphate</w:t>
            </w:r>
            <w:r w:rsidR="00DD026C">
              <w:rPr>
                <w:rFonts w:ascii="Arial" w:hAnsi="Arial" w:cs="Arial"/>
              </w:rPr>
              <w:t xml:space="preserve">, 5% glycerol </w:t>
            </w:r>
            <w:r>
              <w:rPr>
                <w:rFonts w:ascii="Arial" w:hAnsi="Arial" w:cs="Arial"/>
              </w:rPr>
              <w:t>(pH</w:t>
            </w:r>
            <w:r>
              <w:rPr>
                <w:rFonts w:ascii="Arial" w:hAnsi="Arial" w:cs="Arial" w:hint="eastAsia"/>
              </w:rPr>
              <w:t xml:space="preserve"> </w:t>
            </w:r>
            <w:r w:rsidR="001F585B">
              <w:rPr>
                <w:rFonts w:ascii="Arial" w:hAnsi="Arial" w:cs="Arial"/>
              </w:rPr>
              <w:t>7</w:t>
            </w:r>
            <w:r>
              <w:rPr>
                <w:rFonts w:ascii="Arial" w:hAnsi="Arial" w:cs="Arial" w:hint="eastAsia"/>
              </w:rPr>
              <w:t>.</w:t>
            </w:r>
            <w:r w:rsidR="001F585B">
              <w:rPr>
                <w:rFonts w:ascii="Arial" w:hAnsi="Arial" w:cs="Arial"/>
              </w:rPr>
              <w:t>4</w:t>
            </w:r>
            <w:r w:rsidR="00E77160" w:rsidRPr="00E77160">
              <w:rPr>
                <w:rFonts w:ascii="Arial" w:hAnsi="Arial" w:cs="Arial"/>
              </w:rPr>
              <w:t>)</w:t>
            </w:r>
            <w:r w:rsidR="00DD7AFC">
              <w:rPr>
                <w:rFonts w:ascii="Arial" w:hAnsi="Arial" w:cs="Arial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D837E2">
        <w:trPr>
          <w:trHeight w:val="192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D837E2">
        <w:trPr>
          <w:trHeight w:val="410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1D0BA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BE" w:rsidRDefault="006E23BE" w:rsidP="00715290">
      <w:r>
        <w:separator/>
      </w:r>
    </w:p>
  </w:endnote>
  <w:endnote w:type="continuationSeparator" w:id="0">
    <w:p w:rsidR="006E23BE" w:rsidRDefault="006E23BE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BE" w:rsidRDefault="006E23BE" w:rsidP="00715290">
      <w:r>
        <w:separator/>
      </w:r>
    </w:p>
  </w:footnote>
  <w:footnote w:type="continuationSeparator" w:id="0">
    <w:p w:rsidR="006E23BE" w:rsidRDefault="006E23BE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6F52"/>
    <w:rsid w:val="000272C6"/>
    <w:rsid w:val="00037D5F"/>
    <w:rsid w:val="00040823"/>
    <w:rsid w:val="000419CA"/>
    <w:rsid w:val="00041B5D"/>
    <w:rsid w:val="00044072"/>
    <w:rsid w:val="00047928"/>
    <w:rsid w:val="000508D6"/>
    <w:rsid w:val="00051586"/>
    <w:rsid w:val="00073233"/>
    <w:rsid w:val="00080C33"/>
    <w:rsid w:val="00083C68"/>
    <w:rsid w:val="00092044"/>
    <w:rsid w:val="000946BC"/>
    <w:rsid w:val="00096A54"/>
    <w:rsid w:val="000A044A"/>
    <w:rsid w:val="000A1150"/>
    <w:rsid w:val="000A213C"/>
    <w:rsid w:val="000A4F8B"/>
    <w:rsid w:val="000A6C57"/>
    <w:rsid w:val="000C21FE"/>
    <w:rsid w:val="000E67CA"/>
    <w:rsid w:val="000F17A5"/>
    <w:rsid w:val="000F357D"/>
    <w:rsid w:val="00101AB3"/>
    <w:rsid w:val="00106E62"/>
    <w:rsid w:val="00107F21"/>
    <w:rsid w:val="001158D8"/>
    <w:rsid w:val="00121E03"/>
    <w:rsid w:val="00121FC7"/>
    <w:rsid w:val="001267F0"/>
    <w:rsid w:val="00144522"/>
    <w:rsid w:val="00150AB2"/>
    <w:rsid w:val="00151930"/>
    <w:rsid w:val="0015232B"/>
    <w:rsid w:val="001626BD"/>
    <w:rsid w:val="001A04E5"/>
    <w:rsid w:val="001A269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448D"/>
    <w:rsid w:val="001F585B"/>
    <w:rsid w:val="001F6E04"/>
    <w:rsid w:val="00213F70"/>
    <w:rsid w:val="0022274F"/>
    <w:rsid w:val="00225FA0"/>
    <w:rsid w:val="0022653C"/>
    <w:rsid w:val="002353E1"/>
    <w:rsid w:val="002464E7"/>
    <w:rsid w:val="00251EC3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23BC"/>
    <w:rsid w:val="0029492E"/>
    <w:rsid w:val="002A7940"/>
    <w:rsid w:val="002B001D"/>
    <w:rsid w:val="002B169A"/>
    <w:rsid w:val="002B27EA"/>
    <w:rsid w:val="002C0B75"/>
    <w:rsid w:val="002C1832"/>
    <w:rsid w:val="002C5EA2"/>
    <w:rsid w:val="002D04B4"/>
    <w:rsid w:val="0030437C"/>
    <w:rsid w:val="003160BF"/>
    <w:rsid w:val="003222BE"/>
    <w:rsid w:val="00322B0B"/>
    <w:rsid w:val="00330C86"/>
    <w:rsid w:val="003356C1"/>
    <w:rsid w:val="00352C62"/>
    <w:rsid w:val="0036347B"/>
    <w:rsid w:val="00365413"/>
    <w:rsid w:val="003751DB"/>
    <w:rsid w:val="00385748"/>
    <w:rsid w:val="00385F75"/>
    <w:rsid w:val="00386392"/>
    <w:rsid w:val="00396282"/>
    <w:rsid w:val="003A7BD5"/>
    <w:rsid w:val="003B17CA"/>
    <w:rsid w:val="003C4C83"/>
    <w:rsid w:val="003C6184"/>
    <w:rsid w:val="003C689F"/>
    <w:rsid w:val="003D1141"/>
    <w:rsid w:val="003F19D4"/>
    <w:rsid w:val="00415531"/>
    <w:rsid w:val="00420A47"/>
    <w:rsid w:val="00430C58"/>
    <w:rsid w:val="004359DF"/>
    <w:rsid w:val="00441FE6"/>
    <w:rsid w:val="00445FEC"/>
    <w:rsid w:val="00446472"/>
    <w:rsid w:val="00471653"/>
    <w:rsid w:val="0048498B"/>
    <w:rsid w:val="00490202"/>
    <w:rsid w:val="00490764"/>
    <w:rsid w:val="00494F4A"/>
    <w:rsid w:val="00497FF6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55F5E"/>
    <w:rsid w:val="00561AD8"/>
    <w:rsid w:val="00576AAF"/>
    <w:rsid w:val="005829CD"/>
    <w:rsid w:val="00595504"/>
    <w:rsid w:val="005B6E6B"/>
    <w:rsid w:val="005C23CE"/>
    <w:rsid w:val="005C696E"/>
    <w:rsid w:val="005D56CB"/>
    <w:rsid w:val="005E1697"/>
    <w:rsid w:val="005E3205"/>
    <w:rsid w:val="005E50FB"/>
    <w:rsid w:val="005E6135"/>
    <w:rsid w:val="005E71D5"/>
    <w:rsid w:val="0060148F"/>
    <w:rsid w:val="00611A69"/>
    <w:rsid w:val="00617A7B"/>
    <w:rsid w:val="00620005"/>
    <w:rsid w:val="00620AB5"/>
    <w:rsid w:val="00646F03"/>
    <w:rsid w:val="006562A9"/>
    <w:rsid w:val="006572FE"/>
    <w:rsid w:val="0066481D"/>
    <w:rsid w:val="0067491E"/>
    <w:rsid w:val="00675AD7"/>
    <w:rsid w:val="00676EF9"/>
    <w:rsid w:val="00691168"/>
    <w:rsid w:val="0069767D"/>
    <w:rsid w:val="006A254A"/>
    <w:rsid w:val="006A5246"/>
    <w:rsid w:val="006B553D"/>
    <w:rsid w:val="006B6F0E"/>
    <w:rsid w:val="006C2030"/>
    <w:rsid w:val="006C26FD"/>
    <w:rsid w:val="006D3D19"/>
    <w:rsid w:val="006E23BE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75896"/>
    <w:rsid w:val="00775F6F"/>
    <w:rsid w:val="007846A7"/>
    <w:rsid w:val="00786E3D"/>
    <w:rsid w:val="00796958"/>
    <w:rsid w:val="007A14F2"/>
    <w:rsid w:val="007A236F"/>
    <w:rsid w:val="007A3BED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803758"/>
    <w:rsid w:val="0080394B"/>
    <w:rsid w:val="0081251B"/>
    <w:rsid w:val="008125A3"/>
    <w:rsid w:val="00812F2F"/>
    <w:rsid w:val="00816BCC"/>
    <w:rsid w:val="00817291"/>
    <w:rsid w:val="00823EED"/>
    <w:rsid w:val="008277EE"/>
    <w:rsid w:val="008303B8"/>
    <w:rsid w:val="00832E2E"/>
    <w:rsid w:val="008417F2"/>
    <w:rsid w:val="0084188A"/>
    <w:rsid w:val="008454F9"/>
    <w:rsid w:val="008606E8"/>
    <w:rsid w:val="00861960"/>
    <w:rsid w:val="00866153"/>
    <w:rsid w:val="00885FEE"/>
    <w:rsid w:val="008A3E3C"/>
    <w:rsid w:val="008A71EF"/>
    <w:rsid w:val="008B1C65"/>
    <w:rsid w:val="008B4848"/>
    <w:rsid w:val="008C3A10"/>
    <w:rsid w:val="008C6A19"/>
    <w:rsid w:val="008D08DE"/>
    <w:rsid w:val="008D7226"/>
    <w:rsid w:val="008D740A"/>
    <w:rsid w:val="008D782B"/>
    <w:rsid w:val="008E7FCB"/>
    <w:rsid w:val="008F14CF"/>
    <w:rsid w:val="0090007E"/>
    <w:rsid w:val="00900BE0"/>
    <w:rsid w:val="00904291"/>
    <w:rsid w:val="00930862"/>
    <w:rsid w:val="00937A50"/>
    <w:rsid w:val="0094170E"/>
    <w:rsid w:val="009417D5"/>
    <w:rsid w:val="00963575"/>
    <w:rsid w:val="009659DB"/>
    <w:rsid w:val="00967520"/>
    <w:rsid w:val="009727E8"/>
    <w:rsid w:val="009A039E"/>
    <w:rsid w:val="009A152D"/>
    <w:rsid w:val="009A3291"/>
    <w:rsid w:val="009A3FEE"/>
    <w:rsid w:val="009B6C0E"/>
    <w:rsid w:val="009D209F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4910"/>
    <w:rsid w:val="00A4743B"/>
    <w:rsid w:val="00A61D57"/>
    <w:rsid w:val="00A63240"/>
    <w:rsid w:val="00A707A3"/>
    <w:rsid w:val="00A807D4"/>
    <w:rsid w:val="00A84292"/>
    <w:rsid w:val="00A86B9A"/>
    <w:rsid w:val="00A87843"/>
    <w:rsid w:val="00AA4029"/>
    <w:rsid w:val="00AA703E"/>
    <w:rsid w:val="00AB5EAB"/>
    <w:rsid w:val="00AB79D5"/>
    <w:rsid w:val="00AE24FE"/>
    <w:rsid w:val="00AE574C"/>
    <w:rsid w:val="00AF27F0"/>
    <w:rsid w:val="00AF4145"/>
    <w:rsid w:val="00AF5092"/>
    <w:rsid w:val="00AF59B0"/>
    <w:rsid w:val="00B00BB6"/>
    <w:rsid w:val="00B02B79"/>
    <w:rsid w:val="00B0363B"/>
    <w:rsid w:val="00B10EAE"/>
    <w:rsid w:val="00B13DDE"/>
    <w:rsid w:val="00B14D62"/>
    <w:rsid w:val="00B2385A"/>
    <w:rsid w:val="00B24639"/>
    <w:rsid w:val="00B30C19"/>
    <w:rsid w:val="00B31324"/>
    <w:rsid w:val="00B35085"/>
    <w:rsid w:val="00B51557"/>
    <w:rsid w:val="00B552E6"/>
    <w:rsid w:val="00B56492"/>
    <w:rsid w:val="00B66DE6"/>
    <w:rsid w:val="00B752E6"/>
    <w:rsid w:val="00B815BD"/>
    <w:rsid w:val="00B921AE"/>
    <w:rsid w:val="00B961B7"/>
    <w:rsid w:val="00BA0EC8"/>
    <w:rsid w:val="00BB2E85"/>
    <w:rsid w:val="00BC0F08"/>
    <w:rsid w:val="00BC41B7"/>
    <w:rsid w:val="00BD03AA"/>
    <w:rsid w:val="00BD3DAC"/>
    <w:rsid w:val="00BD5317"/>
    <w:rsid w:val="00BE05F9"/>
    <w:rsid w:val="00BF0A8F"/>
    <w:rsid w:val="00BF6723"/>
    <w:rsid w:val="00C036B3"/>
    <w:rsid w:val="00C10FA9"/>
    <w:rsid w:val="00C15146"/>
    <w:rsid w:val="00C160BB"/>
    <w:rsid w:val="00C20BF3"/>
    <w:rsid w:val="00C20F16"/>
    <w:rsid w:val="00C224FE"/>
    <w:rsid w:val="00C24EAC"/>
    <w:rsid w:val="00C30879"/>
    <w:rsid w:val="00C33570"/>
    <w:rsid w:val="00C33C13"/>
    <w:rsid w:val="00C35807"/>
    <w:rsid w:val="00C41DBC"/>
    <w:rsid w:val="00C431BD"/>
    <w:rsid w:val="00C4434C"/>
    <w:rsid w:val="00C45B55"/>
    <w:rsid w:val="00C47903"/>
    <w:rsid w:val="00C52AAD"/>
    <w:rsid w:val="00C55C8B"/>
    <w:rsid w:val="00C62CFF"/>
    <w:rsid w:val="00C7202F"/>
    <w:rsid w:val="00C935E5"/>
    <w:rsid w:val="00CB1859"/>
    <w:rsid w:val="00CC0D87"/>
    <w:rsid w:val="00CC0EF6"/>
    <w:rsid w:val="00CD105C"/>
    <w:rsid w:val="00CE0606"/>
    <w:rsid w:val="00CE3E4B"/>
    <w:rsid w:val="00CE4778"/>
    <w:rsid w:val="00CE57B5"/>
    <w:rsid w:val="00CF08D1"/>
    <w:rsid w:val="00CF4DAF"/>
    <w:rsid w:val="00D129BA"/>
    <w:rsid w:val="00D141D0"/>
    <w:rsid w:val="00D1496F"/>
    <w:rsid w:val="00D15B35"/>
    <w:rsid w:val="00D2680B"/>
    <w:rsid w:val="00D45E05"/>
    <w:rsid w:val="00D5654B"/>
    <w:rsid w:val="00D57998"/>
    <w:rsid w:val="00D61B41"/>
    <w:rsid w:val="00D64A89"/>
    <w:rsid w:val="00D76BAE"/>
    <w:rsid w:val="00D76F12"/>
    <w:rsid w:val="00D837E2"/>
    <w:rsid w:val="00D9094F"/>
    <w:rsid w:val="00D91158"/>
    <w:rsid w:val="00D928B6"/>
    <w:rsid w:val="00DA1CC2"/>
    <w:rsid w:val="00DB1AD8"/>
    <w:rsid w:val="00DD026C"/>
    <w:rsid w:val="00DD7AFC"/>
    <w:rsid w:val="00DF7BDD"/>
    <w:rsid w:val="00E0718F"/>
    <w:rsid w:val="00E07FF6"/>
    <w:rsid w:val="00E116BE"/>
    <w:rsid w:val="00E1424B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77160"/>
    <w:rsid w:val="00E833BF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F02761"/>
    <w:rsid w:val="00F063D4"/>
    <w:rsid w:val="00F06AE2"/>
    <w:rsid w:val="00F06CF3"/>
    <w:rsid w:val="00F244CF"/>
    <w:rsid w:val="00F4759D"/>
    <w:rsid w:val="00F52D4D"/>
    <w:rsid w:val="00F63D0A"/>
    <w:rsid w:val="00F706F0"/>
    <w:rsid w:val="00F7468F"/>
    <w:rsid w:val="00F765A1"/>
    <w:rsid w:val="00F76A81"/>
    <w:rsid w:val="00F8299E"/>
    <w:rsid w:val="00F82B6E"/>
    <w:rsid w:val="00FA0B62"/>
    <w:rsid w:val="00FA0FB0"/>
    <w:rsid w:val="00FA76BE"/>
    <w:rsid w:val="00FB0507"/>
    <w:rsid w:val="00FB13BD"/>
    <w:rsid w:val="00FB2821"/>
    <w:rsid w:val="00FB3DDE"/>
    <w:rsid w:val="00FC2A6C"/>
    <w:rsid w:val="00FC419A"/>
    <w:rsid w:val="00FD2487"/>
    <w:rsid w:val="00FE3A7A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F124"/>
  <w15:docId w15:val="{C4F8375A-5989-4AE8-A0E0-F3B2CF77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0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24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30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JW-user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4</cp:revision>
  <cp:lastPrinted>2022-04-29T02:05:00Z</cp:lastPrinted>
  <dcterms:created xsi:type="dcterms:W3CDTF">2017-03-24T08:40:00Z</dcterms:created>
  <dcterms:modified xsi:type="dcterms:W3CDTF">2022-04-29T02:05:00Z</dcterms:modified>
</cp:coreProperties>
</file>